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91" w:type="dxa"/>
        <w:tblInd w:w="150"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CellMar>
          <w:left w:w="10" w:type="dxa"/>
          <w:right w:w="10" w:type="dxa"/>
        </w:tblCellMar>
        <w:tblLook w:val="0000" w:firstRow="0" w:lastRow="0" w:firstColumn="0" w:lastColumn="0" w:noHBand="0" w:noVBand="0"/>
      </w:tblPr>
      <w:tblGrid>
        <w:gridCol w:w="1208"/>
        <w:gridCol w:w="4685"/>
        <w:gridCol w:w="1087"/>
        <w:gridCol w:w="2211"/>
      </w:tblGrid>
      <w:tr w:rsidR="000B278C" w:rsidRPr="003A4BAE" w14:paraId="1EE0C408" w14:textId="77777777" w:rsidTr="003557A2">
        <w:trPr>
          <w:trHeight w:val="822"/>
        </w:trPr>
        <w:tc>
          <w:tcPr>
            <w:tcW w:w="1208" w:type="dxa"/>
            <w:tcMar>
              <w:top w:w="150" w:type="dxa"/>
              <w:left w:w="150" w:type="dxa"/>
              <w:bottom w:w="150" w:type="dxa"/>
              <w:right w:w="150" w:type="dxa"/>
            </w:tcMar>
            <w:vAlign w:val="center"/>
          </w:tcPr>
          <w:p w14:paraId="4CF6029E" w14:textId="77777777" w:rsidR="000B278C" w:rsidRPr="003A4BAE" w:rsidRDefault="009F07C0" w:rsidP="006A7F94">
            <w:pPr>
              <w:spacing w:before="120" w:after="120"/>
              <w:jc w:val="center"/>
              <w:rPr>
                <w:rFonts w:ascii="Arial" w:hAnsi="Arial" w:cs="Arial"/>
                <w:sz w:val="24"/>
                <w:szCs w:val="24"/>
              </w:rPr>
            </w:pPr>
            <w:r w:rsidRPr="003A4BAE">
              <w:rPr>
                <w:rFonts w:ascii="Arial" w:hAnsi="Arial" w:cs="Arial"/>
                <w:noProof/>
                <w:sz w:val="24"/>
                <w:szCs w:val="24"/>
              </w:rPr>
              <w:drawing>
                <wp:anchor distT="0" distB="0" distL="114300" distR="114300" simplePos="0" relativeHeight="251658240" behindDoc="1" locked="0" layoutInCell="1" allowOverlap="1" wp14:anchorId="11F5F3CF" wp14:editId="020BD781">
                  <wp:simplePos x="0" y="0"/>
                  <wp:positionH relativeFrom="column">
                    <wp:posOffset>-3810</wp:posOffset>
                  </wp:positionH>
                  <wp:positionV relativeFrom="paragraph">
                    <wp:posOffset>143510</wp:posOffset>
                  </wp:positionV>
                  <wp:extent cx="630555" cy="304800"/>
                  <wp:effectExtent l="0" t="0" r="0" b="0"/>
                  <wp:wrapNone/>
                  <wp:docPr id="1" name="Drawing 0" descr="f04067f056bc351fbdb1d47a2724c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04067f056bc351fbdb1d47a2724c060.png"/>
                          <pic:cNvPicPr>
                            <a:picLocks noChangeAspect="1"/>
                          </pic:cNvPicPr>
                        </pic:nvPicPr>
                        <pic:blipFill>
                          <a:blip r:embed="rId6" cstate="print">
                            <a:extLst>
                              <a:ext uri="{28A0092B-C50C-407E-A947-70E740481C1C}">
                                <a14:useLocalDpi xmlns:a14="http://schemas.microsoft.com/office/drawing/2010/main" val="0"/>
                              </a:ext>
                            </a:extLst>
                          </a:blip>
                          <a:srcRect l="33248" t="40865" r="33577" b="39099"/>
                          <a:stretch>
                            <a:fillRect/>
                          </a:stretch>
                        </pic:blipFill>
                        <pic:spPr>
                          <a:xfrm>
                            <a:off x="0" y="0"/>
                            <a:ext cx="630555" cy="304800"/>
                          </a:xfrm>
                          <a:prstGeom prst="rect">
                            <a:avLst/>
                          </a:prstGeom>
                        </pic:spPr>
                      </pic:pic>
                    </a:graphicData>
                  </a:graphic>
                  <wp14:sizeRelH relativeFrom="margin">
                    <wp14:pctWidth>0</wp14:pctWidth>
                  </wp14:sizeRelH>
                  <wp14:sizeRelV relativeFrom="margin">
                    <wp14:pctHeight>0</wp14:pctHeight>
                  </wp14:sizeRelV>
                </wp:anchor>
              </w:drawing>
            </w:r>
          </w:p>
          <w:p w14:paraId="14CF4BBB" w14:textId="43BAD71E" w:rsidR="000B278C" w:rsidRPr="003A4BAE" w:rsidRDefault="000B278C" w:rsidP="006A7F94">
            <w:pPr>
              <w:spacing w:before="120" w:after="120" w:line="336" w:lineRule="auto"/>
              <w:jc w:val="center"/>
              <w:rPr>
                <w:rFonts w:ascii="Arial" w:hAnsi="Arial" w:cs="Arial"/>
                <w:sz w:val="24"/>
                <w:szCs w:val="24"/>
              </w:rPr>
            </w:pPr>
          </w:p>
        </w:tc>
        <w:tc>
          <w:tcPr>
            <w:tcW w:w="4685" w:type="dxa"/>
            <w:tcMar>
              <w:top w:w="150" w:type="dxa"/>
              <w:left w:w="150" w:type="dxa"/>
              <w:bottom w:w="150" w:type="dxa"/>
              <w:right w:w="150" w:type="dxa"/>
            </w:tcMar>
            <w:vAlign w:val="center"/>
          </w:tcPr>
          <w:p w14:paraId="6F9900B9" w14:textId="71DB7D07" w:rsidR="000B278C" w:rsidRPr="003A4BAE" w:rsidRDefault="009F07C0" w:rsidP="006A7F94">
            <w:pPr>
              <w:spacing w:before="120" w:after="120" w:line="300" w:lineRule="auto"/>
              <w:jc w:val="center"/>
              <w:rPr>
                <w:rFonts w:ascii="Arial" w:hAnsi="Arial" w:cs="Arial"/>
                <w:sz w:val="24"/>
                <w:szCs w:val="24"/>
              </w:rPr>
            </w:pPr>
            <w:r w:rsidRPr="003A4BAE">
              <w:rPr>
                <w:rFonts w:ascii="Arial" w:eastAsia="Poppins Bold" w:hAnsi="Arial" w:cs="Arial"/>
                <w:b/>
                <w:bCs/>
                <w:color w:val="000000"/>
                <w:sz w:val="24"/>
                <w:szCs w:val="24"/>
              </w:rPr>
              <w:t>Plantilla de contexto</w:t>
            </w:r>
          </w:p>
        </w:tc>
        <w:tc>
          <w:tcPr>
            <w:tcW w:w="1087" w:type="dxa"/>
            <w:tcMar>
              <w:top w:w="150" w:type="dxa"/>
              <w:left w:w="150" w:type="dxa"/>
              <w:bottom w:w="150" w:type="dxa"/>
              <w:right w:w="150" w:type="dxa"/>
            </w:tcMar>
            <w:vAlign w:val="center"/>
          </w:tcPr>
          <w:p w14:paraId="5BBDB776" w14:textId="0C585B4D" w:rsidR="000B278C" w:rsidRPr="003557A2" w:rsidRDefault="009F07C0" w:rsidP="006A7F94">
            <w:pPr>
              <w:spacing w:before="120" w:after="120" w:line="336" w:lineRule="auto"/>
              <w:jc w:val="center"/>
              <w:rPr>
                <w:rFonts w:ascii="Arial" w:hAnsi="Arial" w:cs="Arial"/>
                <w:sz w:val="24"/>
                <w:szCs w:val="24"/>
              </w:rPr>
            </w:pPr>
            <w:r w:rsidRPr="003557A2">
              <w:rPr>
                <w:rFonts w:ascii="Arial" w:eastAsia="Poppins Bold" w:hAnsi="Arial" w:cs="Arial"/>
                <w:b/>
                <w:bCs/>
                <w:color w:val="000000"/>
                <w:sz w:val="24"/>
                <w:szCs w:val="24"/>
              </w:rPr>
              <w:t>código</w:t>
            </w:r>
          </w:p>
        </w:tc>
        <w:tc>
          <w:tcPr>
            <w:tcW w:w="2211" w:type="dxa"/>
            <w:tcMar>
              <w:top w:w="150" w:type="dxa"/>
              <w:left w:w="150" w:type="dxa"/>
              <w:bottom w:w="150" w:type="dxa"/>
              <w:right w:w="150" w:type="dxa"/>
            </w:tcMar>
            <w:vAlign w:val="center"/>
          </w:tcPr>
          <w:p w14:paraId="18340642" w14:textId="1C751828" w:rsidR="000B278C" w:rsidRPr="003557A2" w:rsidRDefault="003557A2" w:rsidP="003557A2">
            <w:pPr>
              <w:spacing w:after="0" w:line="240" w:lineRule="auto"/>
              <w:jc w:val="center"/>
              <w:rPr>
                <w:rFonts w:ascii="Arial" w:eastAsia="Times New Roman" w:hAnsi="Arial" w:cs="Arial"/>
                <w:b/>
                <w:bCs/>
                <w:sz w:val="24"/>
                <w:szCs w:val="24"/>
              </w:rPr>
            </w:pPr>
            <w:r w:rsidRPr="003557A2">
              <w:rPr>
                <w:rFonts w:ascii="Arial" w:eastAsia="Times New Roman" w:hAnsi="Arial" w:cs="Arial"/>
                <w:b/>
                <w:bCs/>
                <w:sz w:val="24"/>
                <w:szCs w:val="24"/>
              </w:rPr>
              <w:t>Pla-contexto-LP</w:t>
            </w:r>
          </w:p>
        </w:tc>
      </w:tr>
    </w:tbl>
    <w:p w14:paraId="2FCD2745" w14:textId="77777777" w:rsidR="000B278C" w:rsidRPr="003A4BAE" w:rsidRDefault="009F07C0">
      <w:pPr>
        <w:spacing w:before="120" w:after="120" w:line="283" w:lineRule="auto"/>
        <w:jc w:val="center"/>
        <w:rPr>
          <w:rFonts w:ascii="Arial" w:hAnsi="Arial" w:cs="Arial"/>
          <w:sz w:val="44"/>
          <w:szCs w:val="44"/>
        </w:rPr>
      </w:pPr>
      <w:r w:rsidRPr="003A4BAE">
        <w:rPr>
          <w:rFonts w:ascii="Arial" w:eastAsia="Poppins Bold" w:hAnsi="Arial" w:cs="Arial"/>
          <w:b/>
          <w:bCs/>
          <w:color w:val="411754"/>
          <w:spacing w:val="9"/>
          <w:sz w:val="44"/>
          <w:szCs w:val="44"/>
        </w:rPr>
        <w:t xml:space="preserve">Plantilla de contexto </w:t>
      </w:r>
    </w:p>
    <w:p w14:paraId="6C685D07" w14:textId="77777777" w:rsidR="000B278C" w:rsidRPr="00FC2577" w:rsidRDefault="009F07C0">
      <w:pPr>
        <w:spacing w:before="120" w:after="120" w:line="336" w:lineRule="auto"/>
        <w:rPr>
          <w:rFonts w:ascii="Arial" w:hAnsi="Arial" w:cs="Arial"/>
          <w:sz w:val="28"/>
          <w:szCs w:val="28"/>
        </w:rPr>
      </w:pPr>
      <w:r w:rsidRPr="00FC2577">
        <w:rPr>
          <w:rFonts w:ascii="Arial" w:eastAsia="Poppins Bold" w:hAnsi="Arial" w:cs="Arial"/>
          <w:b/>
          <w:bCs/>
          <w:color w:val="411754"/>
          <w:sz w:val="28"/>
          <w:szCs w:val="28"/>
        </w:rPr>
        <w:t xml:space="preserve">Introducción </w:t>
      </w:r>
    </w:p>
    <w:p w14:paraId="7AC5C303" w14:textId="4B13AF28" w:rsidR="000B278C" w:rsidRPr="003A4BAE" w:rsidRDefault="009F07C0" w:rsidP="00A51497">
      <w:pPr>
        <w:spacing w:before="120" w:after="120" w:line="276" w:lineRule="auto"/>
        <w:jc w:val="both"/>
        <w:rPr>
          <w:rFonts w:ascii="Arial" w:hAnsi="Arial" w:cs="Arial"/>
          <w:sz w:val="24"/>
          <w:szCs w:val="24"/>
        </w:rPr>
      </w:pPr>
      <w:r w:rsidRPr="003A4BAE">
        <w:rPr>
          <w:rFonts w:ascii="Arial" w:eastAsia="Poppins" w:hAnsi="Arial" w:cs="Arial"/>
          <w:color w:val="000000"/>
          <w:sz w:val="24"/>
          <w:szCs w:val="24"/>
        </w:rPr>
        <w:t xml:space="preserve">Dentro de este documento se brinda un contexto necesario para proporcionarle a la inteligencia artificial la información clara y enfoque del estudio que se a realizar. Este contexto no solo sirve como punto de partida sino como base conceptual que </w:t>
      </w:r>
      <w:r w:rsidR="008620FC" w:rsidRPr="003A4BAE">
        <w:rPr>
          <w:rFonts w:ascii="Arial" w:eastAsia="Poppins" w:hAnsi="Arial" w:cs="Arial"/>
          <w:color w:val="000000"/>
          <w:sz w:val="24"/>
          <w:szCs w:val="24"/>
        </w:rPr>
        <w:t>guiará</w:t>
      </w:r>
      <w:r w:rsidRPr="003A4BAE">
        <w:rPr>
          <w:rFonts w:ascii="Arial" w:eastAsia="Poppins" w:hAnsi="Arial" w:cs="Arial"/>
          <w:color w:val="000000"/>
          <w:sz w:val="24"/>
          <w:szCs w:val="24"/>
        </w:rPr>
        <w:t xml:space="preserve"> el desarrollo del estudio así se podrá obtener una mayor precisión entre las necesidades del proyecto y el aporte de la inteligencia artificial. </w:t>
      </w:r>
    </w:p>
    <w:p w14:paraId="2F2F1A51" w14:textId="77777777" w:rsidR="008957B1" w:rsidRPr="003A4BAE" w:rsidRDefault="008957B1">
      <w:pPr>
        <w:spacing w:before="120" w:after="120" w:line="336" w:lineRule="auto"/>
        <w:jc w:val="both"/>
        <w:rPr>
          <w:rFonts w:ascii="Arial" w:eastAsia="Poppins Bold" w:hAnsi="Arial" w:cs="Arial"/>
          <w:b/>
          <w:bCs/>
          <w:color w:val="411754"/>
          <w:sz w:val="24"/>
          <w:szCs w:val="24"/>
        </w:rPr>
      </w:pPr>
    </w:p>
    <w:p w14:paraId="0FD73278" w14:textId="0E676234" w:rsidR="000B278C" w:rsidRPr="00FC2577" w:rsidRDefault="009F07C0">
      <w:pPr>
        <w:spacing w:before="120" w:after="120" w:line="336" w:lineRule="auto"/>
        <w:jc w:val="both"/>
        <w:rPr>
          <w:rFonts w:ascii="Arial" w:hAnsi="Arial" w:cs="Arial"/>
          <w:sz w:val="28"/>
          <w:szCs w:val="28"/>
        </w:rPr>
      </w:pPr>
      <w:r w:rsidRPr="00FC2577">
        <w:rPr>
          <w:rFonts w:ascii="Arial" w:eastAsia="Poppins Bold" w:hAnsi="Arial" w:cs="Arial"/>
          <w:b/>
          <w:bCs/>
          <w:color w:val="411754"/>
          <w:sz w:val="28"/>
          <w:szCs w:val="28"/>
        </w:rPr>
        <w:t xml:space="preserve">Antecedentes: </w:t>
      </w:r>
    </w:p>
    <w:p w14:paraId="4DB7DA1E" w14:textId="76DC98D7" w:rsidR="000B278C" w:rsidRPr="003A4BAE" w:rsidRDefault="009F07C0">
      <w:pPr>
        <w:spacing w:before="120" w:after="120" w:line="300" w:lineRule="auto"/>
        <w:jc w:val="both"/>
        <w:rPr>
          <w:rFonts w:ascii="Arial" w:hAnsi="Arial" w:cs="Arial"/>
          <w:sz w:val="24"/>
          <w:szCs w:val="24"/>
        </w:rPr>
      </w:pPr>
      <w:r w:rsidRPr="003A4BAE">
        <w:rPr>
          <w:rFonts w:ascii="Arial" w:eastAsia="Poppins Bold Italics" w:hAnsi="Arial" w:cs="Arial"/>
          <w:b/>
          <w:bCs/>
          <w:i/>
          <w:iCs/>
          <w:color w:val="000000"/>
          <w:sz w:val="24"/>
          <w:szCs w:val="24"/>
        </w:rPr>
        <w:t>¿</w:t>
      </w:r>
      <w:r w:rsidR="006A7F94" w:rsidRPr="003A4BAE">
        <w:rPr>
          <w:rFonts w:ascii="Arial" w:eastAsia="Poppins Bold Italics" w:hAnsi="Arial" w:cs="Arial"/>
          <w:b/>
          <w:bCs/>
          <w:i/>
          <w:iCs/>
          <w:color w:val="000000"/>
          <w:sz w:val="24"/>
          <w:szCs w:val="24"/>
        </w:rPr>
        <w:t>Por qué</w:t>
      </w:r>
      <w:r w:rsidRPr="003A4BAE">
        <w:rPr>
          <w:rFonts w:ascii="Arial" w:eastAsia="Poppins Bold Italics" w:hAnsi="Arial" w:cs="Arial"/>
          <w:b/>
          <w:bCs/>
          <w:i/>
          <w:iCs/>
          <w:color w:val="000000"/>
          <w:sz w:val="24"/>
          <w:szCs w:val="24"/>
        </w:rPr>
        <w:t xml:space="preserve"> estamos </w:t>
      </w:r>
      <w:r w:rsidR="008957B1" w:rsidRPr="003A4BAE">
        <w:rPr>
          <w:rFonts w:ascii="Arial" w:eastAsia="Poppins Bold Italics" w:hAnsi="Arial" w:cs="Arial"/>
          <w:b/>
          <w:bCs/>
          <w:i/>
          <w:iCs/>
          <w:color w:val="000000"/>
          <w:sz w:val="24"/>
          <w:szCs w:val="24"/>
        </w:rPr>
        <w:t>realizando este</w:t>
      </w:r>
      <w:r w:rsidRPr="003A4BAE">
        <w:rPr>
          <w:rFonts w:ascii="Arial" w:eastAsia="Poppins Bold Italics" w:hAnsi="Arial" w:cs="Arial"/>
          <w:b/>
          <w:bCs/>
          <w:i/>
          <w:iCs/>
          <w:color w:val="000000"/>
          <w:sz w:val="24"/>
          <w:szCs w:val="24"/>
        </w:rPr>
        <w:t xml:space="preserve"> proyecto? </w:t>
      </w:r>
    </w:p>
    <w:p w14:paraId="21379767" w14:textId="09CFDCC4" w:rsidR="000B278C" w:rsidRPr="003A4BAE" w:rsidRDefault="009F07C0">
      <w:pPr>
        <w:spacing w:before="120" w:after="120" w:line="300" w:lineRule="auto"/>
        <w:jc w:val="both"/>
        <w:rPr>
          <w:rFonts w:ascii="Arial" w:hAnsi="Arial" w:cs="Arial"/>
          <w:sz w:val="24"/>
          <w:szCs w:val="24"/>
        </w:rPr>
      </w:pPr>
      <w:r w:rsidRPr="003A4BAE">
        <w:rPr>
          <w:rFonts w:ascii="Arial" w:eastAsia="Poppins" w:hAnsi="Arial" w:cs="Arial"/>
          <w:color w:val="000000"/>
          <w:sz w:val="24"/>
          <w:szCs w:val="24"/>
        </w:rPr>
        <w:t>Busca dar la explicación de las razones que motivan al estudio para poder conocer las necesidades claves ayudando a la inteligencia artificial a entender los fundamentos del análisi</w:t>
      </w:r>
      <w:r w:rsidR="00A460B3">
        <w:rPr>
          <w:rFonts w:ascii="Arial" w:eastAsia="Poppins" w:hAnsi="Arial" w:cs="Arial"/>
          <w:color w:val="000000"/>
          <w:sz w:val="24"/>
          <w:szCs w:val="24"/>
        </w:rPr>
        <w:t xml:space="preserve">s en la que esta información se sacaría del </w:t>
      </w:r>
      <w:proofErr w:type="spellStart"/>
      <w:r w:rsidR="00A460B3">
        <w:rPr>
          <w:rFonts w:ascii="Arial" w:eastAsia="Poppins" w:hAnsi="Arial" w:cs="Arial"/>
          <w:color w:val="000000"/>
          <w:sz w:val="24"/>
          <w:szCs w:val="24"/>
        </w:rPr>
        <w:t>brief</w:t>
      </w:r>
      <w:proofErr w:type="spellEnd"/>
      <w:r w:rsidR="00CB7205">
        <w:rPr>
          <w:rFonts w:ascii="Arial" w:eastAsia="Poppins" w:hAnsi="Arial" w:cs="Arial"/>
          <w:color w:val="000000"/>
          <w:sz w:val="24"/>
          <w:szCs w:val="24"/>
        </w:rPr>
        <w:t>.</w:t>
      </w:r>
    </w:p>
    <w:p w14:paraId="5D102234" w14:textId="77777777" w:rsidR="004846AB" w:rsidRDefault="004846AB">
      <w:pPr>
        <w:spacing w:before="120" w:after="120" w:line="300" w:lineRule="auto"/>
        <w:rPr>
          <w:rFonts w:ascii="Arial" w:eastAsia="Poppins Bold" w:hAnsi="Arial" w:cs="Arial"/>
          <w:b/>
          <w:bCs/>
          <w:color w:val="411754"/>
          <w:sz w:val="28"/>
          <w:szCs w:val="28"/>
        </w:rPr>
      </w:pPr>
    </w:p>
    <w:p w14:paraId="6CB81079" w14:textId="3D32B32A" w:rsidR="000B278C" w:rsidRPr="00FC2577" w:rsidRDefault="009F07C0">
      <w:pPr>
        <w:spacing w:before="120" w:after="120" w:line="300" w:lineRule="auto"/>
        <w:rPr>
          <w:rFonts w:ascii="Arial" w:hAnsi="Arial" w:cs="Arial"/>
          <w:sz w:val="28"/>
          <w:szCs w:val="28"/>
        </w:rPr>
      </w:pPr>
      <w:r w:rsidRPr="00FC2577">
        <w:rPr>
          <w:rFonts w:ascii="Arial" w:eastAsia="Poppins Bold" w:hAnsi="Arial" w:cs="Arial"/>
          <w:b/>
          <w:bCs/>
          <w:color w:val="411754"/>
          <w:sz w:val="28"/>
          <w:szCs w:val="28"/>
        </w:rPr>
        <w:t>Ejemplo:</w:t>
      </w:r>
      <w:r w:rsidRPr="00FC2577">
        <w:rPr>
          <w:rFonts w:ascii="Arial" w:eastAsia="Poppins Italics" w:hAnsi="Arial" w:cs="Arial"/>
          <w:i/>
          <w:iCs/>
          <w:color w:val="000000"/>
          <w:sz w:val="28"/>
          <w:szCs w:val="28"/>
        </w:rPr>
        <w:t xml:space="preserve">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0B278C" w:rsidRPr="003A4BAE" w14:paraId="43CE8BB6" w14:textId="77777777">
        <w:tc>
          <w:tcPr>
            <w:tcW w:w="9030" w:type="dxa"/>
            <w:tcMar>
              <w:top w:w="150" w:type="dxa"/>
              <w:left w:w="150" w:type="dxa"/>
              <w:bottom w:w="150" w:type="dxa"/>
              <w:right w:w="150" w:type="dxa"/>
            </w:tcMar>
          </w:tcPr>
          <w:p w14:paraId="6C5CEBCA"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 xml:space="preserve">Antecedentes </w:t>
            </w:r>
          </w:p>
        </w:tc>
      </w:tr>
      <w:tr w:rsidR="000B278C" w:rsidRPr="003A4BAE" w14:paraId="7A7E8E4D" w14:textId="77777777">
        <w:tc>
          <w:tcPr>
            <w:tcW w:w="9030" w:type="dxa"/>
            <w:tcMar>
              <w:top w:w="150" w:type="dxa"/>
              <w:left w:w="150" w:type="dxa"/>
              <w:bottom w:w="150" w:type="dxa"/>
              <w:right w:w="150" w:type="dxa"/>
            </w:tcMar>
          </w:tcPr>
          <w:p w14:paraId="78B608DA" w14:textId="3A3B9D68" w:rsidR="000B278C" w:rsidRPr="00ED512A" w:rsidRDefault="00ED512A">
            <w:pPr>
              <w:spacing w:before="120" w:after="120" w:line="336" w:lineRule="auto"/>
              <w:jc w:val="both"/>
              <w:rPr>
                <w:rFonts w:ascii="Arial" w:eastAsia="Arial" w:hAnsi="Arial" w:cs="Arial"/>
                <w:color w:val="000000"/>
                <w:sz w:val="24"/>
                <w:szCs w:val="24"/>
                <w:lang w:val="es-ES"/>
              </w:rPr>
            </w:pPr>
            <w:r w:rsidRPr="00ED512A">
              <w:rPr>
                <w:rFonts w:ascii="Arial" w:eastAsia="Arial" w:hAnsi="Arial" w:cs="Arial"/>
                <w:color w:val="000000"/>
                <w:sz w:val="24"/>
                <w:szCs w:val="24"/>
              </w:rPr>
              <w:t xml:space="preserve">Durante los últimos años, los consumidores en América Latina han atravesado transformaciones aceleradas impulsadas por factores económicos, sociales, tecnológicos y ambientales. Las tensiones entre bienestar personal, presión inflacionaria, disrupciones tecnológicas y fragmentación social están moldeando nuevos patrones de comportamiento que exigen a las marcas una comprensión profunda, estratégica y adaptable. En este contexto, Brandstrat ha desarrollado una serie de documentos piloto de análisis temático con base en informes de tendencias globales y regionales (Statista, Ipsos, McKinsey, </w:t>
            </w:r>
            <w:proofErr w:type="spellStart"/>
            <w:r w:rsidRPr="00ED512A">
              <w:rPr>
                <w:rFonts w:ascii="Arial" w:eastAsia="Arial" w:hAnsi="Arial" w:cs="Arial"/>
                <w:color w:val="000000"/>
                <w:sz w:val="24"/>
                <w:szCs w:val="24"/>
              </w:rPr>
              <w:t>Euromonitor</w:t>
            </w:r>
            <w:proofErr w:type="spellEnd"/>
            <w:r w:rsidRPr="00ED512A">
              <w:rPr>
                <w:rFonts w:ascii="Arial" w:eastAsia="Arial" w:hAnsi="Arial" w:cs="Arial"/>
                <w:color w:val="000000"/>
                <w:sz w:val="24"/>
                <w:szCs w:val="24"/>
              </w:rPr>
              <w:t>, Edelman, entre otros) con el fin de anticipar los cambios en las expectativas del consumidor hacia 2025. Estos documentos se estructuran bajo cinco ejes clave: Estilo de vida, Compra, Consumo, Tecnología y Mercadeo.</w:t>
            </w:r>
          </w:p>
        </w:tc>
      </w:tr>
    </w:tbl>
    <w:p w14:paraId="64260A98" w14:textId="77777777" w:rsidR="000B278C" w:rsidRPr="003A4BAE" w:rsidRDefault="009F07C0">
      <w:pPr>
        <w:spacing w:before="120" w:after="120" w:line="300" w:lineRule="auto"/>
        <w:rPr>
          <w:rFonts w:ascii="Arial" w:hAnsi="Arial" w:cs="Arial"/>
          <w:sz w:val="24"/>
          <w:szCs w:val="24"/>
        </w:rPr>
      </w:pPr>
      <w:r w:rsidRPr="003A4BAE">
        <w:rPr>
          <w:rFonts w:ascii="Arial" w:eastAsia="Poppins Italics" w:hAnsi="Arial" w:cs="Arial"/>
          <w:i/>
          <w:iCs/>
          <w:color w:val="000000"/>
          <w:sz w:val="24"/>
          <w:szCs w:val="24"/>
        </w:rPr>
        <w:lastRenderedPageBreak/>
        <w:t xml:space="preserve"> </w:t>
      </w:r>
    </w:p>
    <w:p w14:paraId="22715558" w14:textId="77777777" w:rsidR="000B278C" w:rsidRPr="00FC2577" w:rsidRDefault="009F07C0">
      <w:pPr>
        <w:spacing w:before="120" w:after="120" w:line="336" w:lineRule="auto"/>
        <w:jc w:val="both"/>
        <w:rPr>
          <w:rFonts w:ascii="Arial" w:hAnsi="Arial" w:cs="Arial"/>
          <w:sz w:val="28"/>
          <w:szCs w:val="28"/>
        </w:rPr>
      </w:pPr>
      <w:r w:rsidRPr="00FC2577">
        <w:rPr>
          <w:rFonts w:ascii="Arial" w:eastAsia="Poppins Bold" w:hAnsi="Arial" w:cs="Arial"/>
          <w:b/>
          <w:bCs/>
          <w:color w:val="411754"/>
          <w:sz w:val="28"/>
          <w:szCs w:val="28"/>
        </w:rPr>
        <w:t xml:space="preserve">Objetivos: </w:t>
      </w:r>
    </w:p>
    <w:p w14:paraId="70E3C890" w14:textId="116C151E" w:rsidR="000B278C" w:rsidRPr="003A4BAE" w:rsidRDefault="009F07C0">
      <w:pPr>
        <w:spacing w:before="120" w:after="120" w:line="300" w:lineRule="auto"/>
        <w:jc w:val="both"/>
        <w:rPr>
          <w:rFonts w:ascii="Arial" w:hAnsi="Arial" w:cs="Arial"/>
          <w:sz w:val="24"/>
          <w:szCs w:val="24"/>
        </w:rPr>
      </w:pPr>
      <w:r w:rsidRPr="003A4BAE">
        <w:rPr>
          <w:rFonts w:ascii="Arial" w:eastAsia="Poppins Bold Italics" w:hAnsi="Arial" w:cs="Arial"/>
          <w:b/>
          <w:bCs/>
          <w:i/>
          <w:iCs/>
          <w:color w:val="000000"/>
          <w:sz w:val="24"/>
          <w:szCs w:val="24"/>
        </w:rPr>
        <w:t>¿</w:t>
      </w:r>
      <w:r w:rsidR="008620FC" w:rsidRPr="003A4BAE">
        <w:rPr>
          <w:rFonts w:ascii="Arial" w:eastAsia="Poppins Bold Italics" w:hAnsi="Arial" w:cs="Arial"/>
          <w:b/>
          <w:bCs/>
          <w:i/>
          <w:iCs/>
          <w:color w:val="000000"/>
          <w:sz w:val="24"/>
          <w:szCs w:val="24"/>
        </w:rPr>
        <w:t>Qué vamos a lograr con este estudio?</w:t>
      </w:r>
      <w:r w:rsidRPr="003A4BAE">
        <w:rPr>
          <w:rFonts w:ascii="Arial" w:eastAsia="Poppins Bold Italics" w:hAnsi="Arial" w:cs="Arial"/>
          <w:b/>
          <w:bCs/>
          <w:i/>
          <w:iCs/>
          <w:color w:val="000000"/>
          <w:sz w:val="24"/>
          <w:szCs w:val="24"/>
        </w:rPr>
        <w:t xml:space="preserve"> </w:t>
      </w:r>
    </w:p>
    <w:p w14:paraId="67BC2A8B" w14:textId="341C8D01" w:rsidR="00CB7205" w:rsidRPr="00CB7205" w:rsidRDefault="009F07C0">
      <w:pPr>
        <w:spacing w:before="120" w:after="120" w:line="300" w:lineRule="auto"/>
        <w:jc w:val="both"/>
        <w:rPr>
          <w:rFonts w:ascii="Arial" w:eastAsia="Poppins" w:hAnsi="Arial" w:cs="Arial"/>
          <w:color w:val="000000"/>
          <w:sz w:val="24"/>
          <w:szCs w:val="24"/>
        </w:rPr>
      </w:pPr>
      <w:r w:rsidRPr="003A4BAE">
        <w:rPr>
          <w:rFonts w:ascii="Arial" w:eastAsia="Poppins" w:hAnsi="Arial" w:cs="Arial"/>
          <w:color w:val="000000"/>
          <w:sz w:val="24"/>
          <w:szCs w:val="24"/>
        </w:rPr>
        <w:t>Es una meta específica y medible que se busca alcanzar en un plazo determinado</w:t>
      </w:r>
      <w:r w:rsidR="00A460B3">
        <w:rPr>
          <w:rFonts w:ascii="Arial" w:eastAsia="Poppins" w:hAnsi="Arial" w:cs="Arial"/>
          <w:color w:val="000000"/>
          <w:sz w:val="24"/>
          <w:szCs w:val="24"/>
        </w:rPr>
        <w:t xml:space="preserve">, en la que centra en </w:t>
      </w:r>
      <w:r w:rsidR="00755AB7">
        <w:rPr>
          <w:rFonts w:ascii="Arial" w:eastAsia="Poppins" w:hAnsi="Arial" w:cs="Arial"/>
          <w:color w:val="000000"/>
          <w:sz w:val="24"/>
          <w:szCs w:val="24"/>
        </w:rPr>
        <w:t>cómo</w:t>
      </w:r>
      <w:r w:rsidR="00A460B3">
        <w:rPr>
          <w:rFonts w:ascii="Arial" w:eastAsia="Poppins" w:hAnsi="Arial" w:cs="Arial"/>
          <w:color w:val="000000"/>
          <w:sz w:val="24"/>
          <w:szCs w:val="24"/>
        </w:rPr>
        <w:t xml:space="preserve"> se va a cumplir con el estudio</w:t>
      </w:r>
      <w:r w:rsidR="00CB7205">
        <w:rPr>
          <w:rFonts w:ascii="Arial" w:eastAsia="Poppins" w:hAnsi="Arial" w:cs="Arial"/>
          <w:color w:val="000000"/>
          <w:sz w:val="24"/>
          <w:szCs w:val="24"/>
        </w:rPr>
        <w:t xml:space="preserve"> que da la base para saber cómo se va medir el estudio</w:t>
      </w:r>
      <w:r w:rsidR="00A460B3">
        <w:rPr>
          <w:rFonts w:ascii="Arial" w:eastAsia="Poppins" w:hAnsi="Arial" w:cs="Arial"/>
          <w:color w:val="000000"/>
          <w:sz w:val="24"/>
          <w:szCs w:val="24"/>
        </w:rPr>
        <w:t>.</w:t>
      </w:r>
    </w:p>
    <w:p w14:paraId="79DA0D07" w14:textId="77777777" w:rsidR="004846AB" w:rsidRDefault="004846AB">
      <w:pPr>
        <w:spacing w:before="120" w:after="120" w:line="300" w:lineRule="auto"/>
        <w:rPr>
          <w:rFonts w:ascii="Arial" w:eastAsia="Poppins Bold" w:hAnsi="Arial" w:cs="Arial"/>
          <w:b/>
          <w:bCs/>
          <w:color w:val="411754"/>
          <w:sz w:val="28"/>
          <w:szCs w:val="28"/>
        </w:rPr>
      </w:pPr>
    </w:p>
    <w:p w14:paraId="1CE0B472" w14:textId="28DE7923" w:rsidR="000B278C" w:rsidRPr="00FC2577" w:rsidRDefault="009F07C0">
      <w:pPr>
        <w:spacing w:before="120" w:after="120" w:line="300" w:lineRule="auto"/>
        <w:rPr>
          <w:rFonts w:ascii="Arial" w:hAnsi="Arial" w:cs="Arial"/>
          <w:sz w:val="28"/>
          <w:szCs w:val="28"/>
        </w:rPr>
      </w:pPr>
      <w:r w:rsidRPr="00FC2577">
        <w:rPr>
          <w:rFonts w:ascii="Arial" w:eastAsia="Poppins Bold" w:hAnsi="Arial" w:cs="Arial"/>
          <w:b/>
          <w:bCs/>
          <w:color w:val="411754"/>
          <w:sz w:val="28"/>
          <w:szCs w:val="28"/>
        </w:rPr>
        <w:t>Ejemplo:</w:t>
      </w:r>
      <w:r w:rsidRPr="00FC2577">
        <w:rPr>
          <w:rFonts w:ascii="Arial" w:eastAsia="Poppins Italics" w:hAnsi="Arial" w:cs="Arial"/>
          <w:i/>
          <w:iCs/>
          <w:color w:val="000000"/>
          <w:sz w:val="28"/>
          <w:szCs w:val="28"/>
        </w:rPr>
        <w:t xml:space="preserve">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0B278C" w:rsidRPr="003A4BAE" w14:paraId="40691CD3" w14:textId="77777777">
        <w:tc>
          <w:tcPr>
            <w:tcW w:w="9030" w:type="dxa"/>
            <w:tcMar>
              <w:top w:w="150" w:type="dxa"/>
              <w:left w:w="150" w:type="dxa"/>
              <w:bottom w:w="150" w:type="dxa"/>
              <w:right w:w="150" w:type="dxa"/>
            </w:tcMar>
          </w:tcPr>
          <w:p w14:paraId="73773CEC"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 xml:space="preserve">Objetivos </w:t>
            </w:r>
          </w:p>
        </w:tc>
      </w:tr>
      <w:tr w:rsidR="000B278C" w:rsidRPr="003A4BAE" w14:paraId="4EABC5A7" w14:textId="77777777">
        <w:tc>
          <w:tcPr>
            <w:tcW w:w="9030" w:type="dxa"/>
            <w:tcMar>
              <w:top w:w="150" w:type="dxa"/>
              <w:left w:w="150" w:type="dxa"/>
              <w:bottom w:w="150" w:type="dxa"/>
              <w:right w:w="150" w:type="dxa"/>
            </w:tcMar>
          </w:tcPr>
          <w:p w14:paraId="6A090301" w14:textId="77777777" w:rsidR="00ED512A" w:rsidRDefault="00ED512A" w:rsidP="00ED512A">
            <w:pPr>
              <w:pStyle w:val="Prrafodelista"/>
              <w:numPr>
                <w:ilvl w:val="0"/>
                <w:numId w:val="1"/>
              </w:numPr>
              <w:rPr>
                <w:lang w:val="es-ES"/>
              </w:rPr>
            </w:pPr>
            <w:r>
              <w:rPr>
                <w:lang w:val="es-ES"/>
              </w:rPr>
              <w:t>Identificar y comprender las principales transformaciones en los estilos de vida de los consumidores hacia 2025, con énfasis en cómo factores como el bienestar integral, los cambios sociodemográficos, las nuevas aspiraciones de vida, el impacto de la tecnología, y la fragmentación económica y social están redefiniendo sus decisiones de consumo, sus prioridades cotidianas y sus relaciones con las marcas.</w:t>
            </w:r>
          </w:p>
          <w:p w14:paraId="76C52429" w14:textId="77777777" w:rsidR="00ED512A" w:rsidRDefault="00ED512A" w:rsidP="00ED512A">
            <w:pPr>
              <w:pStyle w:val="Prrafodelista"/>
              <w:numPr>
                <w:ilvl w:val="0"/>
                <w:numId w:val="1"/>
              </w:numPr>
              <w:rPr>
                <w:lang w:val="es-ES"/>
              </w:rPr>
            </w:pPr>
            <w:r>
              <w:rPr>
                <w:lang w:val="es-ES"/>
              </w:rPr>
              <w:t xml:space="preserve">Identificar y comprender las principales transformaciones en los procesos de compra de los consumidores hacia 2025, con énfasis en el papel de la inteligencia artificial, el comercio social y las nuevas expectativas en experiencias </w:t>
            </w:r>
            <w:proofErr w:type="spellStart"/>
            <w:r>
              <w:rPr>
                <w:lang w:val="es-ES"/>
              </w:rPr>
              <w:t>omnicanal</w:t>
            </w:r>
            <w:proofErr w:type="spellEnd"/>
            <w:r>
              <w:rPr>
                <w:lang w:val="es-ES"/>
              </w:rPr>
              <w:t>, valorando el impacto de la tecnología, la racionalidad financiera y los cambios generacionales en la toma de decisiones.</w:t>
            </w:r>
          </w:p>
          <w:p w14:paraId="04094131" w14:textId="77777777" w:rsidR="00ED512A" w:rsidRDefault="00ED512A" w:rsidP="00ED512A">
            <w:pPr>
              <w:pStyle w:val="Prrafodelista"/>
              <w:numPr>
                <w:ilvl w:val="0"/>
                <w:numId w:val="1"/>
              </w:numPr>
              <w:rPr>
                <w:lang w:val="es-ES"/>
              </w:rPr>
            </w:pPr>
            <w:r>
              <w:rPr>
                <w:lang w:val="es-ES"/>
              </w:rPr>
              <w:t>Explorar cómo los valores emergentes, la sostenibilidad, la inclusión y los cambios demográficos están redefiniendo las decisiones de consumo en 2025, analizando el impacto de la transformación social, económica y cultural en la relación entre consumidor y marca.</w:t>
            </w:r>
          </w:p>
          <w:p w14:paraId="7216B7DC" w14:textId="77777777" w:rsidR="00ED512A" w:rsidRDefault="00ED512A" w:rsidP="00ED512A">
            <w:pPr>
              <w:pStyle w:val="Prrafodelista"/>
              <w:numPr>
                <w:ilvl w:val="0"/>
                <w:numId w:val="1"/>
              </w:numPr>
              <w:rPr>
                <w:lang w:val="es-ES"/>
              </w:rPr>
            </w:pPr>
            <w:r>
              <w:rPr>
                <w:lang w:val="es-ES"/>
              </w:rPr>
              <w:t>Analizar cómo la inteligencia artificial y otras tecnologías emergentes están redefiniendo la experiencia del consumidor, el marketing, la creatividad y el comercio en 2025, abordando tanto sus beneficios operativos como los retos éticos, emocionales y de sostenibilidad que surgen en su implementación.</w:t>
            </w:r>
          </w:p>
          <w:p w14:paraId="2CBC4B91" w14:textId="001B6805" w:rsidR="000B278C" w:rsidRPr="00ED512A" w:rsidRDefault="00ED512A" w:rsidP="00ED512A">
            <w:pPr>
              <w:pStyle w:val="Prrafodelista"/>
              <w:numPr>
                <w:ilvl w:val="0"/>
                <w:numId w:val="1"/>
              </w:numPr>
              <w:rPr>
                <w:lang w:val="es-ES"/>
              </w:rPr>
            </w:pPr>
            <w:r>
              <w:rPr>
                <w:lang w:val="es-ES"/>
              </w:rPr>
              <w:t>Identificar las principales transformaciones en las estrategias de marketing para 2025, analizando el rol de la personalización, la confianza, la omnicanalidad, la fragmentación mediática y la evolución del contenido frente a consumidores más exigentes, informados y digitalizados.</w:t>
            </w:r>
          </w:p>
        </w:tc>
      </w:tr>
    </w:tbl>
    <w:p w14:paraId="2ECA788D" w14:textId="55A907EA" w:rsidR="000B278C" w:rsidRDefault="009F07C0">
      <w:pPr>
        <w:spacing w:before="120" w:after="120" w:line="300" w:lineRule="auto"/>
        <w:rPr>
          <w:rFonts w:ascii="Arial" w:eastAsia="Poppins Italics" w:hAnsi="Arial" w:cs="Arial"/>
          <w:i/>
          <w:iCs/>
          <w:color w:val="000000"/>
          <w:sz w:val="24"/>
          <w:szCs w:val="24"/>
        </w:rPr>
      </w:pPr>
      <w:r w:rsidRPr="003A4BAE">
        <w:rPr>
          <w:rFonts w:ascii="Arial" w:eastAsia="Poppins Italics" w:hAnsi="Arial" w:cs="Arial"/>
          <w:i/>
          <w:iCs/>
          <w:color w:val="000000"/>
          <w:sz w:val="24"/>
          <w:szCs w:val="24"/>
        </w:rPr>
        <w:t xml:space="preserve"> </w:t>
      </w:r>
    </w:p>
    <w:p w14:paraId="50A18F52" w14:textId="61042B88" w:rsidR="004846AB" w:rsidRDefault="004846AB">
      <w:pPr>
        <w:spacing w:before="120" w:after="120" w:line="300" w:lineRule="auto"/>
        <w:rPr>
          <w:rFonts w:ascii="Arial" w:eastAsia="Poppins Italics" w:hAnsi="Arial" w:cs="Arial"/>
          <w:i/>
          <w:iCs/>
          <w:color w:val="000000"/>
          <w:sz w:val="24"/>
          <w:szCs w:val="24"/>
        </w:rPr>
      </w:pPr>
    </w:p>
    <w:p w14:paraId="287F8DBE" w14:textId="77777777" w:rsidR="000B278C" w:rsidRPr="00FC2577" w:rsidRDefault="009F07C0">
      <w:pPr>
        <w:spacing w:before="120" w:after="120" w:line="336" w:lineRule="auto"/>
        <w:jc w:val="both"/>
        <w:rPr>
          <w:rFonts w:ascii="Arial" w:hAnsi="Arial" w:cs="Arial"/>
          <w:sz w:val="28"/>
          <w:szCs w:val="28"/>
        </w:rPr>
      </w:pPr>
      <w:r w:rsidRPr="00FC2577">
        <w:rPr>
          <w:rFonts w:ascii="Arial" w:eastAsia="Poppins Bold" w:hAnsi="Arial" w:cs="Arial"/>
          <w:b/>
          <w:bCs/>
          <w:color w:val="411754"/>
          <w:sz w:val="28"/>
          <w:szCs w:val="28"/>
        </w:rPr>
        <w:t xml:space="preserve">Propósitos: </w:t>
      </w:r>
    </w:p>
    <w:p w14:paraId="406D87AB" w14:textId="77777777" w:rsidR="000B278C" w:rsidRPr="003A4BAE" w:rsidRDefault="009F07C0">
      <w:pPr>
        <w:spacing w:before="120" w:after="120" w:line="300" w:lineRule="auto"/>
        <w:jc w:val="both"/>
        <w:rPr>
          <w:rFonts w:ascii="Arial" w:hAnsi="Arial" w:cs="Arial"/>
          <w:sz w:val="24"/>
          <w:szCs w:val="24"/>
        </w:rPr>
      </w:pPr>
      <w:r w:rsidRPr="003A4BAE">
        <w:rPr>
          <w:rFonts w:ascii="Arial" w:eastAsia="Poppins Bold Italics" w:hAnsi="Arial" w:cs="Arial"/>
          <w:b/>
          <w:bCs/>
          <w:i/>
          <w:iCs/>
          <w:color w:val="000000"/>
          <w:sz w:val="24"/>
          <w:szCs w:val="24"/>
        </w:rPr>
        <w:t>¿Qué estrategias y acciones vamos a poder desarrollar con la información obtenida?</w:t>
      </w:r>
      <w:r w:rsidRPr="003A4BAE">
        <w:rPr>
          <w:rFonts w:ascii="Arial" w:eastAsia="Poppins Bold" w:hAnsi="Arial" w:cs="Arial"/>
          <w:b/>
          <w:bCs/>
          <w:color w:val="000000"/>
          <w:sz w:val="24"/>
          <w:szCs w:val="24"/>
        </w:rPr>
        <w:t xml:space="preserve"> </w:t>
      </w:r>
      <w:r w:rsidRPr="003A4BAE">
        <w:rPr>
          <w:rFonts w:ascii="Arial" w:eastAsia="Poppins" w:hAnsi="Arial" w:cs="Arial"/>
          <w:color w:val="000000"/>
          <w:sz w:val="24"/>
          <w:szCs w:val="24"/>
        </w:rPr>
        <w:t xml:space="preserve"> </w:t>
      </w:r>
    </w:p>
    <w:p w14:paraId="70C2F516" w14:textId="77D58D02" w:rsidR="00A460B3" w:rsidRDefault="00B76E9C" w:rsidP="00B76E9C">
      <w:pPr>
        <w:spacing w:before="120" w:after="120" w:line="300" w:lineRule="auto"/>
        <w:jc w:val="both"/>
        <w:rPr>
          <w:rFonts w:ascii="Arial" w:eastAsia="Poppins" w:hAnsi="Arial" w:cs="Arial"/>
          <w:color w:val="000000"/>
          <w:sz w:val="24"/>
          <w:szCs w:val="24"/>
        </w:rPr>
      </w:pPr>
      <w:r>
        <w:rPr>
          <w:rFonts w:ascii="Arial" w:eastAsia="Poppins" w:hAnsi="Arial" w:cs="Arial"/>
          <w:color w:val="000000"/>
          <w:sz w:val="24"/>
          <w:szCs w:val="24"/>
        </w:rPr>
        <w:t>Dar una explicación detallada de las actividades y acciones que se llevaran a cabo durante su desarrollo para identificar y analizar la problemática existente y poder formular estrategias efectivas y sostenibles para poder encontrar una solución</w:t>
      </w:r>
      <w:r w:rsidR="00CB7205">
        <w:rPr>
          <w:rFonts w:ascii="Arial" w:eastAsia="Poppins" w:hAnsi="Arial" w:cs="Arial"/>
          <w:color w:val="000000"/>
          <w:sz w:val="24"/>
          <w:szCs w:val="24"/>
        </w:rPr>
        <w:t>.</w:t>
      </w:r>
    </w:p>
    <w:p w14:paraId="01ED5B2F" w14:textId="77777777" w:rsidR="00CB7205" w:rsidRDefault="00CB7205">
      <w:pPr>
        <w:spacing w:before="120" w:after="120" w:line="300" w:lineRule="auto"/>
        <w:rPr>
          <w:rFonts w:ascii="Arial" w:eastAsia="Poppins Bold" w:hAnsi="Arial" w:cs="Arial"/>
          <w:b/>
          <w:bCs/>
          <w:color w:val="411754"/>
          <w:sz w:val="28"/>
          <w:szCs w:val="28"/>
        </w:rPr>
      </w:pPr>
    </w:p>
    <w:p w14:paraId="57955C84" w14:textId="02188685" w:rsidR="000B278C" w:rsidRPr="00FC2577" w:rsidRDefault="009F07C0">
      <w:pPr>
        <w:spacing w:before="120" w:after="120" w:line="300" w:lineRule="auto"/>
        <w:rPr>
          <w:rFonts w:ascii="Arial" w:hAnsi="Arial" w:cs="Arial"/>
          <w:sz w:val="28"/>
          <w:szCs w:val="28"/>
        </w:rPr>
      </w:pPr>
      <w:r w:rsidRPr="00FC2577">
        <w:rPr>
          <w:rFonts w:ascii="Arial" w:eastAsia="Poppins Bold" w:hAnsi="Arial" w:cs="Arial"/>
          <w:b/>
          <w:bCs/>
          <w:color w:val="411754"/>
          <w:sz w:val="28"/>
          <w:szCs w:val="28"/>
        </w:rPr>
        <w:t>Ejemplo:</w:t>
      </w:r>
      <w:r w:rsidRPr="00FC2577">
        <w:rPr>
          <w:rFonts w:ascii="Arial" w:eastAsia="Poppins Italics" w:hAnsi="Arial" w:cs="Arial"/>
          <w:i/>
          <w:iCs/>
          <w:color w:val="000000"/>
          <w:sz w:val="28"/>
          <w:szCs w:val="28"/>
        </w:rPr>
        <w:t xml:space="preserve">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0B278C" w:rsidRPr="003A4BAE" w14:paraId="7BFA4C75" w14:textId="77777777">
        <w:tc>
          <w:tcPr>
            <w:tcW w:w="9030" w:type="dxa"/>
            <w:tcMar>
              <w:top w:w="150" w:type="dxa"/>
              <w:left w:w="150" w:type="dxa"/>
              <w:bottom w:w="150" w:type="dxa"/>
              <w:right w:w="150" w:type="dxa"/>
            </w:tcMar>
          </w:tcPr>
          <w:p w14:paraId="180B1390"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 xml:space="preserve">Propósitos </w:t>
            </w:r>
          </w:p>
        </w:tc>
      </w:tr>
      <w:tr w:rsidR="000B278C" w:rsidRPr="003A4BAE" w14:paraId="4592A5E0" w14:textId="77777777">
        <w:tc>
          <w:tcPr>
            <w:tcW w:w="9030" w:type="dxa"/>
            <w:tcMar>
              <w:top w:w="150" w:type="dxa"/>
              <w:left w:w="150" w:type="dxa"/>
              <w:bottom w:w="150" w:type="dxa"/>
              <w:right w:w="150" w:type="dxa"/>
            </w:tcMar>
          </w:tcPr>
          <w:p w14:paraId="54878B0C" w14:textId="77777777" w:rsidR="00ED512A" w:rsidRDefault="00ED512A" w:rsidP="00ED512A">
            <w:pPr>
              <w:pStyle w:val="Prrafodelista"/>
              <w:numPr>
                <w:ilvl w:val="0"/>
                <w:numId w:val="2"/>
              </w:numPr>
            </w:pPr>
            <w:r>
              <w:t>Identificar cambios emergentes en valores, motivaciones y comportamientos de los consumidores latinoamericanos, especialmente en relación con salud, sostenibilidad, digitalización, consumo consciente y experiencias de marca.</w:t>
            </w:r>
          </w:p>
          <w:p w14:paraId="6EEE1CE1" w14:textId="77777777" w:rsidR="00ED512A" w:rsidRDefault="00ED512A" w:rsidP="00ED512A">
            <w:pPr>
              <w:pStyle w:val="Prrafodelista"/>
              <w:numPr>
                <w:ilvl w:val="0"/>
                <w:numId w:val="2"/>
              </w:numPr>
            </w:pPr>
            <w:r>
              <w:t>Establecer marcos de análisis temático, permitiendo a equipos de investigación, mercadeo y estrategia de Brandstrat ordenar las tendencias por ejes prioritarios que faciliten la interpretación y aplicación de hallazgos para diferentes sectores.</w:t>
            </w:r>
          </w:p>
          <w:p w14:paraId="3FD6D58E" w14:textId="77777777" w:rsidR="00ED512A" w:rsidRDefault="00ED512A" w:rsidP="00ED512A">
            <w:pPr>
              <w:pStyle w:val="Prrafodelista"/>
              <w:numPr>
                <w:ilvl w:val="0"/>
                <w:numId w:val="2"/>
              </w:numPr>
            </w:pPr>
            <w:r>
              <w:t>Apoyar el diseño de instrumentos de investigación y guías de análisis cualitativo y cuantitativo, a partir de preguntas clave extraídas directamente de las fuentes internacionales revisadas.</w:t>
            </w:r>
          </w:p>
          <w:p w14:paraId="7A69BD5E" w14:textId="1B2967DD" w:rsidR="000B278C" w:rsidRPr="00ED512A" w:rsidRDefault="00ED512A" w:rsidP="00ED512A">
            <w:pPr>
              <w:pStyle w:val="Prrafodelista"/>
              <w:numPr>
                <w:ilvl w:val="0"/>
                <w:numId w:val="2"/>
              </w:numPr>
            </w:pPr>
            <w:r>
              <w:t>Aportar lineamientos estratégicos para clientes de Brandstrat en Colombia y América Latina que buscan anticiparse a las nuevas exigencias de sus públicos, fortalecer su posicionamiento y construir ventajas competitivas basadas en comprensión cultural profunda y sensibilidad al cambio.</w:t>
            </w:r>
          </w:p>
        </w:tc>
      </w:tr>
    </w:tbl>
    <w:p w14:paraId="25F25D6A" w14:textId="77777777" w:rsidR="000B278C" w:rsidRPr="003A4BAE" w:rsidRDefault="009F07C0">
      <w:pPr>
        <w:spacing w:before="120" w:after="120" w:line="300" w:lineRule="auto"/>
        <w:rPr>
          <w:rFonts w:ascii="Arial" w:hAnsi="Arial" w:cs="Arial"/>
          <w:sz w:val="24"/>
          <w:szCs w:val="24"/>
        </w:rPr>
      </w:pPr>
      <w:r w:rsidRPr="003A4BAE">
        <w:rPr>
          <w:rFonts w:ascii="Arial" w:eastAsia="Poppins Italics" w:hAnsi="Arial" w:cs="Arial"/>
          <w:i/>
          <w:iCs/>
          <w:color w:val="000000"/>
          <w:sz w:val="24"/>
          <w:szCs w:val="24"/>
        </w:rPr>
        <w:t xml:space="preserve"> </w:t>
      </w:r>
    </w:p>
    <w:p w14:paraId="101C8D8E" w14:textId="326F3530" w:rsidR="008957B1" w:rsidRPr="003A4BAE" w:rsidRDefault="008957B1">
      <w:pPr>
        <w:rPr>
          <w:rFonts w:ascii="Arial" w:eastAsia="Poppins Bold" w:hAnsi="Arial" w:cs="Arial"/>
          <w:b/>
          <w:bCs/>
          <w:color w:val="411754"/>
          <w:sz w:val="24"/>
          <w:szCs w:val="24"/>
        </w:rPr>
      </w:pPr>
      <w:r w:rsidRPr="003A4BAE">
        <w:rPr>
          <w:rFonts w:ascii="Arial" w:eastAsia="Poppins Bold" w:hAnsi="Arial" w:cs="Arial"/>
          <w:b/>
          <w:bCs/>
          <w:color w:val="411754"/>
          <w:sz w:val="24"/>
          <w:szCs w:val="24"/>
        </w:rPr>
        <w:br w:type="page"/>
      </w:r>
    </w:p>
    <w:p w14:paraId="5DF67995" w14:textId="1371CEF0" w:rsidR="000B278C" w:rsidRPr="00FC2577" w:rsidRDefault="009F07C0">
      <w:pPr>
        <w:spacing w:before="120" w:after="120" w:line="300" w:lineRule="auto"/>
        <w:rPr>
          <w:rFonts w:ascii="Arial" w:hAnsi="Arial" w:cs="Arial"/>
          <w:sz w:val="28"/>
          <w:szCs w:val="28"/>
        </w:rPr>
      </w:pPr>
      <w:r w:rsidRPr="00FC2577">
        <w:rPr>
          <w:rFonts w:ascii="Arial" w:eastAsia="Poppins Bold" w:hAnsi="Arial" w:cs="Arial"/>
          <w:b/>
          <w:bCs/>
          <w:color w:val="411754"/>
          <w:sz w:val="28"/>
          <w:szCs w:val="28"/>
        </w:rPr>
        <w:t xml:space="preserve">Plantilla: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0B278C" w:rsidRPr="003A4BAE" w14:paraId="360E03EB" w14:textId="77777777">
        <w:tc>
          <w:tcPr>
            <w:tcW w:w="9030" w:type="dxa"/>
            <w:tcMar>
              <w:top w:w="150" w:type="dxa"/>
              <w:left w:w="150" w:type="dxa"/>
              <w:bottom w:w="150" w:type="dxa"/>
              <w:right w:w="150" w:type="dxa"/>
            </w:tcMar>
          </w:tcPr>
          <w:p w14:paraId="53A32D4F"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Antecedentes</w:t>
            </w:r>
            <w:r w:rsidRPr="003A4BAE">
              <w:rPr>
                <w:rFonts w:ascii="Arial" w:eastAsia="Arial Bold Italics" w:hAnsi="Arial" w:cs="Arial"/>
                <w:b/>
                <w:bCs/>
                <w:i/>
                <w:iCs/>
                <w:color w:val="000000"/>
                <w:sz w:val="24"/>
                <w:szCs w:val="24"/>
              </w:rPr>
              <w:t xml:space="preserve"> </w:t>
            </w:r>
          </w:p>
        </w:tc>
      </w:tr>
      <w:tr w:rsidR="000B278C" w:rsidRPr="003A4BAE" w14:paraId="2539E66D" w14:textId="77777777">
        <w:tc>
          <w:tcPr>
            <w:tcW w:w="9030" w:type="dxa"/>
            <w:tcMar>
              <w:top w:w="150" w:type="dxa"/>
              <w:left w:w="150" w:type="dxa"/>
              <w:bottom w:w="150" w:type="dxa"/>
              <w:right w:w="150" w:type="dxa"/>
            </w:tcMar>
          </w:tcPr>
          <w:p w14:paraId="52B92E81" w14:textId="77777777" w:rsidR="000B278C" w:rsidRPr="003A4BAE" w:rsidRDefault="009F07C0">
            <w:pPr>
              <w:spacing w:before="120" w:after="120" w:line="336" w:lineRule="auto"/>
              <w:rPr>
                <w:rFonts w:ascii="Arial" w:hAnsi="Arial" w:cs="Arial"/>
                <w:color w:val="BFBFBF" w:themeColor="background1" w:themeShade="BF"/>
                <w:sz w:val="24"/>
                <w:szCs w:val="24"/>
              </w:rPr>
            </w:pPr>
            <w:r w:rsidRPr="003A4BAE">
              <w:rPr>
                <w:rFonts w:ascii="Arial" w:eastAsia="Arial Italics" w:hAnsi="Arial" w:cs="Arial"/>
                <w:i/>
                <w:iCs/>
                <w:color w:val="BFBFBF" w:themeColor="background1" w:themeShade="BF"/>
                <w:sz w:val="24"/>
                <w:szCs w:val="24"/>
              </w:rPr>
              <w:t xml:space="preserve">Respectivo texto </w:t>
            </w:r>
          </w:p>
        </w:tc>
      </w:tr>
      <w:tr w:rsidR="000B278C" w:rsidRPr="003A4BAE" w14:paraId="5CC185B0" w14:textId="77777777">
        <w:tc>
          <w:tcPr>
            <w:tcW w:w="9030" w:type="dxa"/>
            <w:tcMar>
              <w:top w:w="150" w:type="dxa"/>
              <w:left w:w="150" w:type="dxa"/>
              <w:bottom w:w="150" w:type="dxa"/>
              <w:right w:w="150" w:type="dxa"/>
            </w:tcMar>
          </w:tcPr>
          <w:p w14:paraId="3949BC17"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Objetivos</w:t>
            </w:r>
            <w:r w:rsidRPr="003A4BAE">
              <w:rPr>
                <w:rFonts w:ascii="Arial" w:eastAsia="Arial Italics" w:hAnsi="Arial" w:cs="Arial"/>
                <w:i/>
                <w:iCs/>
                <w:color w:val="000000"/>
                <w:sz w:val="24"/>
                <w:szCs w:val="24"/>
              </w:rPr>
              <w:t xml:space="preserve"> </w:t>
            </w:r>
          </w:p>
        </w:tc>
      </w:tr>
      <w:tr w:rsidR="000B278C" w:rsidRPr="003A4BAE" w14:paraId="388FCB23" w14:textId="77777777">
        <w:tc>
          <w:tcPr>
            <w:tcW w:w="9030" w:type="dxa"/>
            <w:tcMar>
              <w:top w:w="150" w:type="dxa"/>
              <w:left w:w="150" w:type="dxa"/>
              <w:bottom w:w="150" w:type="dxa"/>
              <w:right w:w="150" w:type="dxa"/>
            </w:tcMar>
          </w:tcPr>
          <w:p w14:paraId="073287C8" w14:textId="77777777" w:rsidR="000B278C" w:rsidRPr="003A4BAE" w:rsidRDefault="009F07C0">
            <w:pPr>
              <w:spacing w:before="120" w:after="120" w:line="336" w:lineRule="auto"/>
              <w:rPr>
                <w:rFonts w:ascii="Arial" w:hAnsi="Arial" w:cs="Arial"/>
                <w:color w:val="BFBFBF" w:themeColor="background1" w:themeShade="BF"/>
                <w:sz w:val="24"/>
                <w:szCs w:val="24"/>
              </w:rPr>
            </w:pPr>
            <w:r w:rsidRPr="003A4BAE">
              <w:rPr>
                <w:rFonts w:ascii="Arial" w:eastAsia="Arial Italics" w:hAnsi="Arial" w:cs="Arial"/>
                <w:i/>
                <w:iCs/>
                <w:color w:val="BFBFBF" w:themeColor="background1" w:themeShade="BF"/>
                <w:sz w:val="24"/>
                <w:szCs w:val="24"/>
              </w:rPr>
              <w:t xml:space="preserve">Respectivo texto </w:t>
            </w:r>
          </w:p>
        </w:tc>
      </w:tr>
      <w:tr w:rsidR="000B278C" w:rsidRPr="003A4BAE" w14:paraId="28ADE161" w14:textId="77777777">
        <w:tc>
          <w:tcPr>
            <w:tcW w:w="9030" w:type="dxa"/>
            <w:tcMar>
              <w:top w:w="150" w:type="dxa"/>
              <w:left w:w="150" w:type="dxa"/>
              <w:bottom w:w="150" w:type="dxa"/>
              <w:right w:w="150" w:type="dxa"/>
            </w:tcMar>
          </w:tcPr>
          <w:p w14:paraId="7F70E27D" w14:textId="77777777" w:rsidR="000B278C" w:rsidRPr="003A4BAE" w:rsidRDefault="009F07C0">
            <w:pPr>
              <w:spacing w:before="120" w:after="120" w:line="336" w:lineRule="auto"/>
              <w:rPr>
                <w:rFonts w:ascii="Arial" w:hAnsi="Arial" w:cs="Arial"/>
                <w:sz w:val="24"/>
                <w:szCs w:val="24"/>
              </w:rPr>
            </w:pPr>
            <w:r w:rsidRPr="003A4BAE">
              <w:rPr>
                <w:rFonts w:ascii="Arial" w:eastAsia="Arial Bold" w:hAnsi="Arial" w:cs="Arial"/>
                <w:b/>
                <w:bCs/>
                <w:color w:val="000000"/>
                <w:sz w:val="24"/>
                <w:szCs w:val="24"/>
              </w:rPr>
              <w:t>Propósitos</w:t>
            </w:r>
            <w:r w:rsidRPr="003A4BAE">
              <w:rPr>
                <w:rFonts w:ascii="Arial" w:eastAsia="Arial Italics" w:hAnsi="Arial" w:cs="Arial"/>
                <w:i/>
                <w:iCs/>
                <w:color w:val="000000"/>
                <w:sz w:val="24"/>
                <w:szCs w:val="24"/>
              </w:rPr>
              <w:t xml:space="preserve"> </w:t>
            </w:r>
          </w:p>
        </w:tc>
      </w:tr>
      <w:tr w:rsidR="000B278C" w:rsidRPr="003A4BAE" w14:paraId="2F581EFB" w14:textId="77777777">
        <w:tc>
          <w:tcPr>
            <w:tcW w:w="9030" w:type="dxa"/>
            <w:tcMar>
              <w:top w:w="150" w:type="dxa"/>
              <w:left w:w="150" w:type="dxa"/>
              <w:bottom w:w="150" w:type="dxa"/>
              <w:right w:w="150" w:type="dxa"/>
            </w:tcMar>
          </w:tcPr>
          <w:p w14:paraId="31AC0567" w14:textId="77777777" w:rsidR="000B278C" w:rsidRPr="003A4BAE" w:rsidRDefault="009F07C0">
            <w:pPr>
              <w:spacing w:before="120" w:after="120" w:line="336" w:lineRule="auto"/>
              <w:rPr>
                <w:rFonts w:ascii="Arial" w:hAnsi="Arial" w:cs="Arial"/>
                <w:color w:val="BFBFBF" w:themeColor="background1" w:themeShade="BF"/>
                <w:sz w:val="24"/>
                <w:szCs w:val="24"/>
              </w:rPr>
            </w:pPr>
            <w:r w:rsidRPr="003A4BAE">
              <w:rPr>
                <w:rFonts w:ascii="Arial" w:eastAsia="Arial Italics" w:hAnsi="Arial" w:cs="Arial"/>
                <w:i/>
                <w:iCs/>
                <w:color w:val="BFBFBF" w:themeColor="background1" w:themeShade="BF"/>
                <w:sz w:val="24"/>
                <w:szCs w:val="24"/>
              </w:rPr>
              <w:t xml:space="preserve">Respectivo texto </w:t>
            </w:r>
          </w:p>
        </w:tc>
      </w:tr>
    </w:tbl>
    <w:p w14:paraId="62A93F80" w14:textId="77777777" w:rsidR="000B278C" w:rsidRPr="003A4BAE" w:rsidRDefault="009F07C0">
      <w:pPr>
        <w:spacing w:before="120" w:after="120" w:line="336" w:lineRule="auto"/>
        <w:rPr>
          <w:rFonts w:ascii="Arial" w:hAnsi="Arial" w:cs="Arial"/>
          <w:sz w:val="24"/>
          <w:szCs w:val="24"/>
        </w:rPr>
      </w:pPr>
      <w:r w:rsidRPr="003A4BAE">
        <w:rPr>
          <w:rFonts w:ascii="Arial" w:eastAsia="Nunito Sans Expanded" w:hAnsi="Arial" w:cs="Arial"/>
          <w:color w:val="003C64"/>
          <w:sz w:val="24"/>
          <w:szCs w:val="24"/>
        </w:rPr>
        <w:t xml:space="preserve"> </w:t>
      </w:r>
    </w:p>
    <w:sectPr w:rsidR="000B278C" w:rsidRPr="003A4BAE">
      <w:pgSz w:w="11910" w:h="16845"/>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F8C2BE-C991-4CD5-9CF2-CE635A6CFDE3}"/>
  </w:font>
  <w:font w:name="Arial">
    <w:panose1 w:val="020B0604020202020204"/>
    <w:charset w:val="00"/>
    <w:family w:val="swiss"/>
    <w:pitch w:val="variable"/>
    <w:sig w:usb0="E0002EFF" w:usb1="C000785B" w:usb2="00000009" w:usb3="00000000" w:csb0="000001FF" w:csb1="00000000"/>
  </w:font>
  <w:font w:name="Poppins Bold">
    <w:charset w:val="00"/>
    <w:family w:val="auto"/>
    <w:pitch w:val="default"/>
    <w:embedBold r:id="rId2" w:fontKey="{AC6C9A21-7460-419D-AC79-B7CE368CEFF9}"/>
  </w:font>
  <w:font w:name="Poppins">
    <w:charset w:val="00"/>
    <w:family w:val="auto"/>
    <w:pitch w:val="variable"/>
    <w:sig w:usb0="00008007" w:usb1="00000000" w:usb2="00000000" w:usb3="00000000" w:csb0="00000093" w:csb1="00000000"/>
    <w:embedRegular r:id="rId3" w:fontKey="{85B328F6-7F9F-478A-B3F1-AFFCAA16A1F9}"/>
  </w:font>
  <w:font w:name="Poppins Bold Italics">
    <w:altName w:val="Calibri"/>
    <w:charset w:val="00"/>
    <w:family w:val="auto"/>
    <w:pitch w:val="default"/>
    <w:embedBoldItalic r:id="rId4" w:fontKey="{2FD41736-6069-49A3-B140-1B3F4237A2B8}"/>
  </w:font>
  <w:font w:name="Poppins Italics">
    <w:altName w:val="Calibri"/>
    <w:charset w:val="00"/>
    <w:family w:val="auto"/>
    <w:pitch w:val="default"/>
    <w:embedItalic r:id="rId5" w:fontKey="{99CC9782-E97F-4E0B-B17D-B511B309CAED}"/>
  </w:font>
  <w:font w:name="Arial Bold">
    <w:altName w:val="Arial"/>
    <w:charset w:val="00"/>
    <w:family w:val="auto"/>
    <w:pitch w:val="default"/>
  </w:font>
  <w:font w:name="Arial Bold Italics">
    <w:altName w:val="Arial"/>
    <w:charset w:val="00"/>
    <w:family w:val="auto"/>
    <w:pitch w:val="default"/>
  </w:font>
  <w:font w:name="Arial Italics">
    <w:altName w:val="Arial"/>
    <w:charset w:val="00"/>
    <w:family w:val="auto"/>
    <w:pitch w:val="default"/>
  </w:font>
  <w:font w:name="Nunito Sans Expand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AD2A6F24-D734-4903-980B-31EC9EDCC7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657D7"/>
    <w:multiLevelType w:val="hybridMultilevel"/>
    <w:tmpl w:val="3DFEC6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4F216F7"/>
    <w:multiLevelType w:val="hybridMultilevel"/>
    <w:tmpl w:val="5F6AE770"/>
    <w:lvl w:ilvl="0" w:tplc="3D00AA50">
      <w:start w:val="1"/>
      <w:numFmt w:val="bullet"/>
      <w:lvlText w:val=""/>
      <w:lvlJc w:val="left"/>
      <w:pPr>
        <w:ind w:left="400" w:hanging="360"/>
      </w:pPr>
      <w:rPr>
        <w:rFonts w:ascii="Symbol" w:hAnsi="Symbol"/>
      </w:rPr>
    </w:lvl>
    <w:lvl w:ilvl="1" w:tplc="2C621876">
      <w:start w:val="1"/>
      <w:numFmt w:val="bullet"/>
      <w:lvlText w:val="o"/>
      <w:lvlJc w:val="left"/>
      <w:pPr>
        <w:ind w:left="800" w:hanging="360"/>
      </w:pPr>
      <w:rPr>
        <w:rFonts w:ascii="Courier New" w:hAnsi="Courier New"/>
      </w:rPr>
    </w:lvl>
    <w:lvl w:ilvl="2" w:tplc="AA18E2A0">
      <w:start w:val="1"/>
      <w:numFmt w:val="bullet"/>
      <w:lvlText w:val=""/>
      <w:lvlJc w:val="left"/>
      <w:pPr>
        <w:ind w:left="1200" w:hanging="360"/>
      </w:pPr>
      <w:rPr>
        <w:rFonts w:ascii="Wingdings" w:hAnsi="Wingdings"/>
      </w:rPr>
    </w:lvl>
    <w:lvl w:ilvl="3" w:tplc="950EBF66">
      <w:start w:val="1"/>
      <w:numFmt w:val="bullet"/>
      <w:lvlText w:val=""/>
      <w:lvlJc w:val="left"/>
      <w:pPr>
        <w:ind w:left="1600" w:hanging="360"/>
      </w:pPr>
      <w:rPr>
        <w:rFonts w:ascii="Symbol" w:hAnsi="Symbol"/>
      </w:rPr>
    </w:lvl>
    <w:lvl w:ilvl="4" w:tplc="2528DE54">
      <w:start w:val="1"/>
      <w:numFmt w:val="bullet"/>
      <w:lvlText w:val="o"/>
      <w:lvlJc w:val="left"/>
      <w:pPr>
        <w:ind w:left="2000" w:hanging="360"/>
      </w:pPr>
      <w:rPr>
        <w:rFonts w:ascii="Courier New" w:hAnsi="Courier New"/>
      </w:rPr>
    </w:lvl>
    <w:lvl w:ilvl="5" w:tplc="D862AC60">
      <w:start w:val="1"/>
      <w:numFmt w:val="bullet"/>
      <w:lvlText w:val=""/>
      <w:lvlJc w:val="left"/>
      <w:pPr>
        <w:ind w:left="2400" w:hanging="360"/>
      </w:pPr>
      <w:rPr>
        <w:rFonts w:ascii="Wingdings" w:hAnsi="Wingdings"/>
      </w:rPr>
    </w:lvl>
    <w:lvl w:ilvl="6" w:tplc="5A40E1B0">
      <w:start w:val="1"/>
      <w:numFmt w:val="bullet"/>
      <w:lvlText w:val=""/>
      <w:lvlJc w:val="left"/>
      <w:pPr>
        <w:ind w:left="2800" w:hanging="360"/>
      </w:pPr>
      <w:rPr>
        <w:rFonts w:ascii="Symbol" w:hAnsi="Symbol"/>
      </w:rPr>
    </w:lvl>
    <w:lvl w:ilvl="7" w:tplc="C6203FF6">
      <w:start w:val="1"/>
      <w:numFmt w:val="bullet"/>
      <w:lvlText w:val="o"/>
      <w:lvlJc w:val="left"/>
      <w:pPr>
        <w:ind w:left="3200" w:hanging="360"/>
      </w:pPr>
      <w:rPr>
        <w:rFonts w:ascii="Courier New" w:hAnsi="Courier New"/>
      </w:rPr>
    </w:lvl>
    <w:lvl w:ilvl="8" w:tplc="16C85FB2">
      <w:numFmt w:val="decimal"/>
      <w:lvlText w:val=""/>
      <w:lvlJc w:val="left"/>
    </w:lvl>
  </w:abstractNum>
  <w:abstractNum w:abstractNumId="2" w15:restartNumberingAfterBreak="0">
    <w:nsid w:val="39D607CB"/>
    <w:multiLevelType w:val="hybridMultilevel"/>
    <w:tmpl w:val="2A624C58"/>
    <w:lvl w:ilvl="0" w:tplc="509867B8">
      <w:start w:val="1"/>
      <w:numFmt w:val="bullet"/>
      <w:lvlText w:val=""/>
      <w:lvlJc w:val="left"/>
      <w:pPr>
        <w:ind w:left="400" w:hanging="360"/>
      </w:pPr>
      <w:rPr>
        <w:rFonts w:ascii="Symbol" w:hAnsi="Symbol"/>
      </w:rPr>
    </w:lvl>
    <w:lvl w:ilvl="1" w:tplc="586827AC">
      <w:start w:val="1"/>
      <w:numFmt w:val="bullet"/>
      <w:lvlText w:val="o"/>
      <w:lvlJc w:val="left"/>
      <w:pPr>
        <w:ind w:left="800" w:hanging="360"/>
      </w:pPr>
      <w:rPr>
        <w:rFonts w:ascii="Courier New" w:hAnsi="Courier New"/>
      </w:rPr>
    </w:lvl>
    <w:lvl w:ilvl="2" w:tplc="62E0A5D2">
      <w:start w:val="1"/>
      <w:numFmt w:val="bullet"/>
      <w:lvlText w:val=""/>
      <w:lvlJc w:val="left"/>
      <w:pPr>
        <w:ind w:left="1200" w:hanging="360"/>
      </w:pPr>
      <w:rPr>
        <w:rFonts w:ascii="Wingdings" w:hAnsi="Wingdings"/>
      </w:rPr>
    </w:lvl>
    <w:lvl w:ilvl="3" w:tplc="E246485E">
      <w:start w:val="1"/>
      <w:numFmt w:val="bullet"/>
      <w:lvlText w:val=""/>
      <w:lvlJc w:val="left"/>
      <w:pPr>
        <w:ind w:left="1600" w:hanging="360"/>
      </w:pPr>
      <w:rPr>
        <w:rFonts w:ascii="Symbol" w:hAnsi="Symbol"/>
      </w:rPr>
    </w:lvl>
    <w:lvl w:ilvl="4" w:tplc="AC269FD6">
      <w:start w:val="1"/>
      <w:numFmt w:val="bullet"/>
      <w:lvlText w:val="o"/>
      <w:lvlJc w:val="left"/>
      <w:pPr>
        <w:ind w:left="2000" w:hanging="360"/>
      </w:pPr>
      <w:rPr>
        <w:rFonts w:ascii="Courier New" w:hAnsi="Courier New"/>
      </w:rPr>
    </w:lvl>
    <w:lvl w:ilvl="5" w:tplc="7F4E69F0">
      <w:start w:val="1"/>
      <w:numFmt w:val="bullet"/>
      <w:lvlText w:val=""/>
      <w:lvlJc w:val="left"/>
      <w:pPr>
        <w:ind w:left="2400" w:hanging="360"/>
      </w:pPr>
      <w:rPr>
        <w:rFonts w:ascii="Wingdings" w:hAnsi="Wingdings"/>
      </w:rPr>
    </w:lvl>
    <w:lvl w:ilvl="6" w:tplc="7AEE988C">
      <w:start w:val="1"/>
      <w:numFmt w:val="bullet"/>
      <w:lvlText w:val=""/>
      <w:lvlJc w:val="left"/>
      <w:pPr>
        <w:ind w:left="2800" w:hanging="360"/>
      </w:pPr>
      <w:rPr>
        <w:rFonts w:ascii="Symbol" w:hAnsi="Symbol"/>
      </w:rPr>
    </w:lvl>
    <w:lvl w:ilvl="7" w:tplc="B1266C38">
      <w:start w:val="1"/>
      <w:numFmt w:val="bullet"/>
      <w:lvlText w:val="o"/>
      <w:lvlJc w:val="left"/>
      <w:pPr>
        <w:ind w:left="3200" w:hanging="360"/>
      </w:pPr>
      <w:rPr>
        <w:rFonts w:ascii="Courier New" w:hAnsi="Courier New"/>
      </w:rPr>
    </w:lvl>
    <w:lvl w:ilvl="8" w:tplc="3056E302">
      <w:numFmt w:val="decimal"/>
      <w:lvlText w:val=""/>
      <w:lvlJc w:val="left"/>
    </w:lvl>
  </w:abstractNum>
  <w:abstractNum w:abstractNumId="3" w15:restartNumberingAfterBreak="0">
    <w:nsid w:val="6D2C77A0"/>
    <w:multiLevelType w:val="hybridMultilevel"/>
    <w:tmpl w:val="FD9833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908952562">
    <w:abstractNumId w:val="2"/>
  </w:num>
  <w:num w:numId="2" w16cid:durableId="2071806348">
    <w:abstractNumId w:val="1"/>
  </w:num>
  <w:num w:numId="3" w16cid:durableId="195235589">
    <w:abstractNumId w:val="3"/>
    <w:lvlOverride w:ilvl="0"/>
    <w:lvlOverride w:ilvl="1"/>
    <w:lvlOverride w:ilvl="2"/>
    <w:lvlOverride w:ilvl="3"/>
    <w:lvlOverride w:ilvl="4"/>
    <w:lvlOverride w:ilvl="5"/>
    <w:lvlOverride w:ilvl="6"/>
    <w:lvlOverride w:ilvl="7"/>
    <w:lvlOverride w:ilvl="8"/>
  </w:num>
  <w:num w:numId="4" w16cid:durableId="88737525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8C"/>
    <w:rsid w:val="000B278C"/>
    <w:rsid w:val="003557A2"/>
    <w:rsid w:val="003A4BAE"/>
    <w:rsid w:val="004846AB"/>
    <w:rsid w:val="00484C42"/>
    <w:rsid w:val="006A7F94"/>
    <w:rsid w:val="007069E9"/>
    <w:rsid w:val="00755AB7"/>
    <w:rsid w:val="008620FC"/>
    <w:rsid w:val="008957B1"/>
    <w:rsid w:val="009F07C0"/>
    <w:rsid w:val="00A460B3"/>
    <w:rsid w:val="00A51497"/>
    <w:rsid w:val="00B76E9C"/>
    <w:rsid w:val="00C32B44"/>
    <w:rsid w:val="00CB7205"/>
    <w:rsid w:val="00D17D6D"/>
    <w:rsid w:val="00E34F4E"/>
    <w:rsid w:val="00ED512A"/>
    <w:rsid w:val="00F30934"/>
    <w:rsid w:val="00FC25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B3336"/>
  <w15:docId w15:val="{2CB9F3B1-DB89-4A1D-AC3F-B5F971C3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512A"/>
    <w:pPr>
      <w:spacing w:line="276" w:lineRule="auto"/>
      <w:ind w:left="720"/>
      <w:contextualSpacing/>
    </w:pPr>
    <w:rPr>
      <w:rFonts w:eastAsiaTheme="minorHAns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6950">
      <w:bodyDiv w:val="1"/>
      <w:marLeft w:val="0"/>
      <w:marRight w:val="0"/>
      <w:marTop w:val="0"/>
      <w:marBottom w:val="0"/>
      <w:divBdr>
        <w:top w:val="none" w:sz="0" w:space="0" w:color="auto"/>
        <w:left w:val="none" w:sz="0" w:space="0" w:color="auto"/>
        <w:bottom w:val="none" w:sz="0" w:space="0" w:color="auto"/>
        <w:right w:val="none" w:sz="0" w:space="0" w:color="auto"/>
      </w:divBdr>
    </w:div>
    <w:div w:id="1177692997">
      <w:bodyDiv w:val="1"/>
      <w:marLeft w:val="0"/>
      <w:marRight w:val="0"/>
      <w:marTop w:val="0"/>
      <w:marBottom w:val="0"/>
      <w:divBdr>
        <w:top w:val="none" w:sz="0" w:space="0" w:color="auto"/>
        <w:left w:val="none" w:sz="0" w:space="0" w:color="auto"/>
        <w:bottom w:val="none" w:sz="0" w:space="0" w:color="auto"/>
        <w:right w:val="none" w:sz="0" w:space="0" w:color="auto"/>
      </w:divBdr>
    </w:div>
    <w:div w:id="1192913636">
      <w:bodyDiv w:val="1"/>
      <w:marLeft w:val="0"/>
      <w:marRight w:val="0"/>
      <w:marTop w:val="0"/>
      <w:marBottom w:val="0"/>
      <w:divBdr>
        <w:top w:val="none" w:sz="0" w:space="0" w:color="auto"/>
        <w:left w:val="none" w:sz="0" w:space="0" w:color="auto"/>
        <w:bottom w:val="none" w:sz="0" w:space="0" w:color="auto"/>
        <w:right w:val="none" w:sz="0" w:space="0" w:color="auto"/>
      </w:divBdr>
    </w:div>
    <w:div w:id="1547570891">
      <w:bodyDiv w:val="1"/>
      <w:marLeft w:val="0"/>
      <w:marRight w:val="0"/>
      <w:marTop w:val="0"/>
      <w:marBottom w:val="0"/>
      <w:divBdr>
        <w:top w:val="none" w:sz="0" w:space="0" w:color="auto"/>
        <w:left w:val="none" w:sz="0" w:space="0" w:color="auto"/>
        <w:bottom w:val="none" w:sz="0" w:space="0" w:color="auto"/>
        <w:right w:val="none" w:sz="0" w:space="0" w:color="auto"/>
      </w:divBdr>
    </w:div>
    <w:div w:id="186070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810E6-1EA1-41E0-BFB0-83858D7A1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762</Words>
  <Characters>4194</Characters>
  <Application>Microsoft Office Word</Application>
  <DocSecurity>6</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proyectos.d</cp:lastModifiedBy>
  <cp:revision>2</cp:revision>
  <dcterms:created xsi:type="dcterms:W3CDTF">2025-07-17T16:53:00Z</dcterms:created>
  <dcterms:modified xsi:type="dcterms:W3CDTF">2025-07-17T16:53:00Z</dcterms:modified>
</cp:coreProperties>
</file>